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D8" w:rsidRPr="002436D6" w:rsidRDefault="004C5ED8" w:rsidP="004C5ED8">
      <w:pPr>
        <w:shd w:val="clear" w:color="auto" w:fill="FFFFFF"/>
        <w:spacing w:after="0" w:line="300" w:lineRule="atLeast"/>
        <w:textAlignment w:val="top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436D6">
        <w:rPr>
          <w:rFonts w:ascii="Helvetica" w:eastAsia="Times New Roman" w:hAnsi="Helvetica" w:cs="Times New Roman"/>
          <w:noProof/>
          <w:color w:val="0088CC"/>
          <w:sz w:val="21"/>
          <w:szCs w:val="21"/>
          <w:lang w:eastAsia="ru-RU"/>
        </w:rPr>
        <w:drawing>
          <wp:inline distT="0" distB="0" distL="0" distR="0" wp14:anchorId="49131CF5" wp14:editId="7D4AB892">
            <wp:extent cx="6140352" cy="771276"/>
            <wp:effectExtent l="0" t="0" r="0" b="0"/>
            <wp:docPr id="1" name="Рисунок 1" descr="http://www.naukaru.ru/app/img/nauka-logo-final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ukaru.ru/app/img/nauka-logo-final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7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D8" w:rsidRPr="005373B3" w:rsidRDefault="004C5ED8" w:rsidP="004C5ED8">
      <w:pPr>
        <w:shd w:val="clear" w:color="auto" w:fill="FFFFFF"/>
        <w:spacing w:after="0" w:line="300" w:lineRule="atLeast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5373B3">
        <w:rPr>
          <w:rFonts w:eastAsia="Times New Roman" w:cstheme="minorHAnsi"/>
          <w:b/>
          <w:bCs/>
          <w:caps/>
          <w:color w:val="999999"/>
          <w:sz w:val="17"/>
          <w:szCs w:val="17"/>
          <w:lang w:eastAsia="ru-RU"/>
        </w:rPr>
        <w:t>НАШИ ПРОЕКТЫ:</w:t>
      </w: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 </w:t>
      </w:r>
      <w:hyperlink r:id="rId8" w:tgtFrame="_blank" w:history="1">
        <w:r w:rsidRPr="005373B3">
          <w:rPr>
            <w:rFonts w:eastAsia="Times New Roman" w:cstheme="minorHAnsi"/>
            <w:b/>
            <w:bCs/>
            <w:caps/>
            <w:color w:val="0088CC"/>
            <w:sz w:val="17"/>
            <w:szCs w:val="17"/>
            <w:u w:val="single"/>
            <w:lang w:eastAsia="ru-RU"/>
          </w:rPr>
          <w:t>INFRA-M.RU</w:t>
        </w:r>
      </w:hyperlink>
      <w:r w:rsidRPr="005373B3">
        <w:rPr>
          <w:rFonts w:eastAsia="Times New Roman" w:cstheme="minorHAnsi"/>
          <w:b/>
          <w:bCs/>
          <w:caps/>
          <w:color w:val="999999"/>
          <w:sz w:val="17"/>
          <w:szCs w:val="17"/>
          <w:lang w:eastAsia="ru-RU"/>
        </w:rPr>
        <w:t> |</w:t>
      </w: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 </w:t>
      </w:r>
      <w:hyperlink r:id="rId9" w:tgtFrame="_blank" w:history="1">
        <w:r w:rsidRPr="005373B3">
          <w:rPr>
            <w:rFonts w:eastAsia="Times New Roman" w:cstheme="minorHAnsi"/>
            <w:b/>
            <w:bCs/>
            <w:caps/>
            <w:color w:val="0088CC"/>
            <w:sz w:val="17"/>
            <w:szCs w:val="17"/>
            <w:u w:val="single"/>
            <w:lang w:eastAsia="ru-RU"/>
          </w:rPr>
          <w:t>ZNANIUM.COM</w:t>
        </w:r>
      </w:hyperlink>
      <w:r w:rsidRPr="005373B3">
        <w:rPr>
          <w:rFonts w:eastAsia="Times New Roman" w:cstheme="minorHAnsi"/>
          <w:b/>
          <w:bCs/>
          <w:caps/>
          <w:color w:val="999999"/>
          <w:sz w:val="17"/>
          <w:szCs w:val="17"/>
          <w:lang w:eastAsia="ru-RU"/>
        </w:rPr>
        <w:t> |</w:t>
      </w: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 </w:t>
      </w:r>
      <w:hyperlink r:id="rId10" w:tgtFrame="_blank" w:history="1">
        <w:r w:rsidRPr="005373B3">
          <w:rPr>
            <w:rFonts w:eastAsia="Times New Roman" w:cstheme="minorHAnsi"/>
            <w:b/>
            <w:bCs/>
            <w:caps/>
            <w:color w:val="0088CC"/>
            <w:sz w:val="17"/>
            <w:szCs w:val="17"/>
            <w:u w:val="single"/>
            <w:lang w:eastAsia="ru-RU"/>
          </w:rPr>
          <w:t>NAUKARU.RU</w:t>
        </w:r>
      </w:hyperlink>
      <w:r w:rsidRPr="005373B3">
        <w:rPr>
          <w:rFonts w:eastAsia="Times New Roman" w:cstheme="minorHAnsi"/>
          <w:b/>
          <w:bCs/>
          <w:caps/>
          <w:color w:val="999999"/>
          <w:sz w:val="17"/>
          <w:szCs w:val="17"/>
          <w:lang w:eastAsia="ru-RU"/>
        </w:rPr>
        <w:t> |</w:t>
      </w:r>
    </w:p>
    <w:p w:rsidR="004C5ED8" w:rsidRPr="005373B3" w:rsidRDefault="004E00A9" w:rsidP="004C5ED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eastAsia="Times New Roman" w:cstheme="minorHAnsi"/>
          <w:color w:val="333333"/>
          <w:sz w:val="21"/>
          <w:szCs w:val="21"/>
          <w:lang w:eastAsia="ru-RU"/>
        </w:rPr>
      </w:pPr>
      <w:hyperlink r:id="rId11" w:history="1">
        <w:r w:rsidR="004C5ED8" w:rsidRPr="005373B3">
          <w:rPr>
            <w:rFonts w:eastAsia="Times New Roman" w:cstheme="minorHAnsi"/>
            <w:color w:val="0088CC"/>
            <w:sz w:val="21"/>
            <w:szCs w:val="21"/>
            <w:lang w:eastAsia="ru-RU"/>
          </w:rPr>
          <w:t>Главная</w:t>
        </w:r>
      </w:hyperlink>
      <w:r w:rsidR="004C5ED8" w:rsidRPr="005373B3">
        <w:rPr>
          <w:rFonts w:eastAsia="Times New Roman" w:cstheme="minorHAnsi"/>
          <w:color w:val="CCCCCC"/>
          <w:sz w:val="21"/>
          <w:szCs w:val="21"/>
          <w:lang w:eastAsia="ru-RU"/>
        </w:rPr>
        <w:t>/</w:t>
      </w:r>
    </w:p>
    <w:p w:rsidR="004C5ED8" w:rsidRPr="005373B3" w:rsidRDefault="004E00A9" w:rsidP="004C5ED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eastAsia="Times New Roman" w:cstheme="minorHAnsi"/>
          <w:color w:val="333333"/>
          <w:sz w:val="21"/>
          <w:szCs w:val="21"/>
          <w:lang w:eastAsia="ru-RU"/>
        </w:rPr>
      </w:pPr>
      <w:hyperlink r:id="rId12" w:history="1">
        <w:r w:rsidR="004C5ED8" w:rsidRPr="005373B3">
          <w:rPr>
            <w:rFonts w:eastAsia="Times New Roman" w:cstheme="minorHAnsi"/>
            <w:color w:val="0088CC"/>
            <w:sz w:val="21"/>
            <w:szCs w:val="21"/>
            <w:lang w:eastAsia="ru-RU"/>
          </w:rPr>
          <w:t>Журналы</w:t>
        </w:r>
      </w:hyperlink>
      <w:r w:rsidR="004C5ED8" w:rsidRPr="005373B3">
        <w:rPr>
          <w:rFonts w:eastAsia="Times New Roman" w:cstheme="minorHAnsi"/>
          <w:color w:val="CCCCCC"/>
          <w:sz w:val="21"/>
          <w:szCs w:val="21"/>
          <w:lang w:eastAsia="ru-RU"/>
        </w:rPr>
        <w:t>/</w:t>
      </w:r>
    </w:p>
    <w:p w:rsidR="004C5ED8" w:rsidRPr="005373B3" w:rsidRDefault="004E00A9" w:rsidP="004C5ED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eastAsia="Times New Roman" w:cstheme="minorHAnsi"/>
          <w:color w:val="333333"/>
          <w:sz w:val="21"/>
          <w:szCs w:val="21"/>
          <w:lang w:eastAsia="ru-RU"/>
        </w:rPr>
      </w:pPr>
      <w:hyperlink r:id="rId13" w:history="1">
        <w:r w:rsidR="004C5ED8" w:rsidRPr="005373B3">
          <w:rPr>
            <w:rFonts w:eastAsia="Times New Roman" w:cstheme="minorHAnsi"/>
            <w:color w:val="0088CC"/>
            <w:sz w:val="21"/>
            <w:szCs w:val="21"/>
            <w:lang w:eastAsia="ru-RU"/>
          </w:rPr>
          <w:t>Профильная школа</w:t>
        </w:r>
      </w:hyperlink>
      <w:r w:rsidR="004C5ED8" w:rsidRPr="005373B3">
        <w:rPr>
          <w:rFonts w:eastAsia="Times New Roman" w:cstheme="minorHAnsi"/>
          <w:color w:val="CCCCCC"/>
          <w:sz w:val="21"/>
          <w:szCs w:val="21"/>
          <w:lang w:eastAsia="ru-RU"/>
        </w:rPr>
        <w:t>/</w:t>
      </w:r>
    </w:p>
    <w:p w:rsidR="004C5ED8" w:rsidRPr="005373B3" w:rsidRDefault="004E00A9" w:rsidP="004C5ED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eastAsia="Times New Roman" w:cstheme="minorHAnsi"/>
          <w:color w:val="333333"/>
          <w:sz w:val="21"/>
          <w:szCs w:val="21"/>
          <w:lang w:eastAsia="ru-RU"/>
        </w:rPr>
      </w:pPr>
      <w:hyperlink r:id="rId14" w:history="1">
        <w:proofErr w:type="spellStart"/>
        <w:r w:rsidR="004C5ED8" w:rsidRPr="005373B3">
          <w:rPr>
            <w:rFonts w:eastAsia="Times New Roman" w:cstheme="minorHAnsi"/>
            <w:color w:val="0088CC"/>
            <w:sz w:val="21"/>
            <w:szCs w:val="21"/>
            <w:lang w:eastAsia="ru-RU"/>
          </w:rPr>
          <w:t>Volume</w:t>
        </w:r>
        <w:proofErr w:type="spellEnd"/>
        <w:r w:rsidR="004C5ED8" w:rsidRPr="005373B3">
          <w:rPr>
            <w:rFonts w:eastAsia="Times New Roman" w:cstheme="minorHAnsi"/>
            <w:color w:val="0088CC"/>
            <w:sz w:val="21"/>
            <w:szCs w:val="21"/>
            <w:lang w:eastAsia="ru-RU"/>
          </w:rPr>
          <w:t xml:space="preserve"> 2 </w:t>
        </w:r>
        <w:proofErr w:type="spellStart"/>
        <w:r w:rsidR="004C5ED8" w:rsidRPr="005373B3">
          <w:rPr>
            <w:rFonts w:eastAsia="Times New Roman" w:cstheme="minorHAnsi"/>
            <w:color w:val="0088CC"/>
            <w:sz w:val="21"/>
            <w:szCs w:val="21"/>
            <w:lang w:eastAsia="ru-RU"/>
          </w:rPr>
          <w:t>Issue</w:t>
        </w:r>
        <w:proofErr w:type="spellEnd"/>
        <w:r w:rsidR="004C5ED8" w:rsidRPr="005373B3">
          <w:rPr>
            <w:rFonts w:eastAsia="Times New Roman" w:cstheme="minorHAnsi"/>
            <w:color w:val="0088CC"/>
            <w:sz w:val="21"/>
            <w:szCs w:val="21"/>
            <w:lang w:eastAsia="ru-RU"/>
          </w:rPr>
          <w:t xml:space="preserve"> 1</w:t>
        </w:r>
      </w:hyperlink>
      <w:r w:rsidR="004C5ED8" w:rsidRPr="005373B3">
        <w:rPr>
          <w:rFonts w:eastAsia="Times New Roman" w:cstheme="minorHAnsi"/>
          <w:color w:val="CCCCCC"/>
          <w:sz w:val="21"/>
          <w:szCs w:val="21"/>
          <w:lang w:eastAsia="ru-RU"/>
        </w:rPr>
        <w:t>/</w:t>
      </w:r>
    </w:p>
    <w:p w:rsidR="004C5ED8" w:rsidRPr="005373B3" w:rsidRDefault="004C5ED8" w:rsidP="004C5ED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eastAsia="Times New Roman" w:cstheme="minorHAnsi"/>
          <w:sz w:val="21"/>
          <w:szCs w:val="21"/>
          <w:lang w:eastAsia="ru-RU"/>
        </w:rPr>
      </w:pPr>
      <w:r w:rsidRPr="005373B3">
        <w:rPr>
          <w:rFonts w:eastAsia="Times New Roman" w:cstheme="minorHAnsi"/>
          <w:sz w:val="21"/>
          <w:szCs w:val="21"/>
          <w:lang w:eastAsia="ru-RU"/>
        </w:rPr>
        <w:t xml:space="preserve">Психолого-педагогические аспекты реализации </w:t>
      </w:r>
      <w:proofErr w:type="spellStart"/>
      <w:r w:rsidRPr="005373B3">
        <w:rPr>
          <w:rFonts w:eastAsia="Times New Roman" w:cstheme="minorHAnsi"/>
          <w:sz w:val="21"/>
          <w:szCs w:val="21"/>
          <w:lang w:eastAsia="ru-RU"/>
        </w:rPr>
        <w:t>компетентностного</w:t>
      </w:r>
      <w:proofErr w:type="spellEnd"/>
      <w:r w:rsidRPr="005373B3">
        <w:rPr>
          <w:rFonts w:eastAsia="Times New Roman" w:cstheme="minorHAnsi"/>
          <w:sz w:val="21"/>
          <w:szCs w:val="21"/>
          <w:lang w:eastAsia="ru-RU"/>
        </w:rPr>
        <w:t xml:space="preserve"> подхода в свете перехода на ФГОС</w:t>
      </w:r>
    </w:p>
    <w:p w:rsidR="004C5ED8" w:rsidRPr="005373B3" w:rsidRDefault="004C5ED8" w:rsidP="004C5ED8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 xml:space="preserve">Авторы: Новикова С. В., </w:t>
      </w:r>
      <w:proofErr w:type="spellStart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Красношлыкова</w:t>
      </w:r>
      <w:proofErr w:type="spellEnd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 xml:space="preserve"> О. Г.</w:t>
      </w:r>
    </w:p>
    <w:p w:rsidR="004C5ED8" w:rsidRPr="005373B3" w:rsidRDefault="004C5ED8" w:rsidP="004C5ED8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DOI: 10.12737/3077</w:t>
      </w:r>
    </w:p>
    <w:p w:rsidR="004C5ED8" w:rsidRPr="005373B3" w:rsidRDefault="004C5ED8" w:rsidP="004C5ED8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Статья опубликована: 10 Февраля 2014</w:t>
      </w:r>
    </w:p>
    <w:p w:rsidR="004C5ED8" w:rsidRPr="005373B3" w:rsidRDefault="004C5ED8" w:rsidP="004C5ED8">
      <w:pPr>
        <w:shd w:val="clear" w:color="auto" w:fill="FFFFFF"/>
        <w:spacing w:line="300" w:lineRule="atLeast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Журнал: </w:t>
      </w:r>
      <w:hyperlink r:id="rId15" w:history="1">
        <w:r w:rsidRPr="005373B3">
          <w:rPr>
            <w:rFonts w:eastAsia="Times New Roman" w:cstheme="minorHAnsi"/>
            <w:b/>
            <w:sz w:val="21"/>
            <w:szCs w:val="21"/>
            <w:u w:val="single"/>
            <w:lang w:eastAsia="ru-RU"/>
          </w:rPr>
          <w:t>Профильная школа</w:t>
        </w:r>
      </w:hyperlink>
      <w:r w:rsidRPr="005373B3">
        <w:rPr>
          <w:rFonts w:eastAsia="Times New Roman" w:cstheme="minorHAnsi"/>
          <w:b/>
          <w:sz w:val="21"/>
          <w:szCs w:val="21"/>
          <w:u w:val="single"/>
          <w:lang w:eastAsia="ru-RU"/>
        </w:rPr>
        <w:t xml:space="preserve">, 1, 2014 г. </w:t>
      </w: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br/>
      </w:r>
      <w:hyperlink r:id="rId16" w:history="1">
        <w:proofErr w:type="spellStart"/>
        <w:r w:rsidRPr="005373B3">
          <w:rPr>
            <w:rFonts w:eastAsia="Times New Roman" w:cstheme="minorHAnsi"/>
            <w:color w:val="0088CC"/>
            <w:sz w:val="21"/>
            <w:szCs w:val="21"/>
            <w:u w:val="single"/>
            <w:lang w:eastAsia="ru-RU"/>
          </w:rPr>
          <w:t>Volume</w:t>
        </w:r>
        <w:proofErr w:type="spellEnd"/>
        <w:r w:rsidRPr="005373B3">
          <w:rPr>
            <w:rFonts w:eastAsia="Times New Roman" w:cstheme="minorHAnsi"/>
            <w:color w:val="0088CC"/>
            <w:sz w:val="21"/>
            <w:szCs w:val="21"/>
            <w:u w:val="single"/>
            <w:lang w:eastAsia="ru-RU"/>
          </w:rPr>
          <w:t xml:space="preserve">: 2 </w:t>
        </w:r>
        <w:proofErr w:type="spellStart"/>
        <w:r w:rsidRPr="005373B3">
          <w:rPr>
            <w:rFonts w:eastAsia="Times New Roman" w:cstheme="minorHAnsi"/>
            <w:color w:val="0088CC"/>
            <w:sz w:val="21"/>
            <w:szCs w:val="21"/>
            <w:u w:val="single"/>
            <w:lang w:eastAsia="ru-RU"/>
          </w:rPr>
          <w:t>issue</w:t>
        </w:r>
        <w:proofErr w:type="spellEnd"/>
        <w:r w:rsidRPr="005373B3">
          <w:rPr>
            <w:rFonts w:eastAsia="Times New Roman" w:cstheme="minorHAnsi"/>
            <w:color w:val="0088CC"/>
            <w:sz w:val="21"/>
            <w:szCs w:val="21"/>
            <w:u w:val="single"/>
            <w:lang w:eastAsia="ru-RU"/>
          </w:rPr>
          <w:t>: 1</w:t>
        </w:r>
      </w:hyperlink>
    </w:p>
    <w:p w:rsidR="004C5ED8" w:rsidRPr="005373B3" w:rsidRDefault="004C5ED8" w:rsidP="004C5ED8">
      <w:pPr>
        <w:shd w:val="clear" w:color="auto" w:fill="FFFFFF"/>
        <w:spacing w:before="150" w:after="150" w:line="600" w:lineRule="atLeast"/>
        <w:outlineLvl w:val="0"/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ru-RU"/>
        </w:rPr>
      </w:pPr>
      <w:r w:rsidRPr="005373B3"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ru-RU"/>
        </w:rPr>
        <w:t xml:space="preserve">Психолого-педагогические аспекты реализации </w:t>
      </w:r>
      <w:proofErr w:type="spellStart"/>
      <w:r w:rsidRPr="005373B3"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ru-RU"/>
        </w:rPr>
        <w:t>компетентностного</w:t>
      </w:r>
      <w:proofErr w:type="spellEnd"/>
      <w:r w:rsidRPr="005373B3"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ru-RU"/>
        </w:rPr>
        <w:t xml:space="preserve"> подхода в свете перехода на ФГОС</w:t>
      </w:r>
    </w:p>
    <w:p w:rsidR="004C5ED8" w:rsidRPr="005373B3" w:rsidRDefault="004C5ED8" w:rsidP="004C5ED8">
      <w:pPr>
        <w:shd w:val="clear" w:color="auto" w:fill="FFFFFF"/>
        <w:spacing w:after="150" w:line="300" w:lineRule="atLeast"/>
        <w:jc w:val="both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5373B3"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>Аннотация.</w:t>
      </w: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 xml:space="preserve"> В данной статье рассмотрены аспекты психолого-педагогического сопровождения внедрения </w:t>
      </w:r>
      <w:proofErr w:type="spellStart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компетентностного</w:t>
      </w:r>
      <w:proofErr w:type="spellEnd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 xml:space="preserve"> подхода в свете стандартов второго поколения, а также проблема диагностики ключевых компетенций обучающихся. Авторами разработаны критерии, показатели и подобран диагностический инструментарий отслеживания ключевых компетенций.</w:t>
      </w:r>
    </w:p>
    <w:p w:rsidR="004C5ED8" w:rsidRPr="005373B3" w:rsidRDefault="004C5ED8" w:rsidP="004C5ED8">
      <w:pPr>
        <w:shd w:val="clear" w:color="auto" w:fill="FFFFFF"/>
        <w:spacing w:after="150" w:line="300" w:lineRule="atLeast"/>
        <w:jc w:val="both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5373B3"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>Ключевые слова</w:t>
      </w:r>
      <w:proofErr w:type="gramStart"/>
      <w:r w:rsidRPr="005373B3">
        <w:rPr>
          <w:rFonts w:eastAsia="Times New Roman" w:cstheme="minorHAnsi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 </w:t>
      </w:r>
      <w:proofErr w:type="spellStart"/>
      <w:proofErr w:type="gramStart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к</w:t>
      </w:r>
      <w:proofErr w:type="gramEnd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омпетентностный</w:t>
      </w:r>
      <w:proofErr w:type="spellEnd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 xml:space="preserve"> подход, психолого-педагогическое сопровождение, ключевые компетенции (коммуникативная, социальная, личностного самосовершенствования).</w:t>
      </w:r>
    </w:p>
    <w:p w:rsidR="004C5ED8" w:rsidRPr="005373B3" w:rsidRDefault="004E00A9" w:rsidP="004C5ED8">
      <w:pPr>
        <w:shd w:val="clear" w:color="auto" w:fill="FFFFFF"/>
        <w:spacing w:before="300" w:after="300" w:line="300" w:lineRule="atLeast"/>
        <w:rPr>
          <w:rFonts w:eastAsia="Times New Roman" w:cstheme="minorHAnsi"/>
          <w:color w:val="333333"/>
          <w:sz w:val="21"/>
          <w:szCs w:val="21"/>
          <w:lang w:eastAsia="ru-RU"/>
        </w:rPr>
      </w:pPr>
      <w:r>
        <w:rPr>
          <w:rFonts w:eastAsia="Times New Roman" w:cstheme="minorHAnsi"/>
          <w:color w:val="333333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4C5ED8" w:rsidRPr="005373B3" w:rsidRDefault="004C5ED8" w:rsidP="004C5ED8">
      <w:pPr>
        <w:shd w:val="clear" w:color="auto" w:fill="FFFFFF"/>
        <w:spacing w:after="150" w:line="300" w:lineRule="atLeast"/>
        <w:jc w:val="both"/>
        <w:rPr>
          <w:rFonts w:eastAsia="Times New Roman" w:cstheme="minorHAnsi"/>
          <w:color w:val="333333"/>
          <w:sz w:val="21"/>
          <w:szCs w:val="21"/>
          <w:lang w:val="en-US" w:eastAsia="ru-RU"/>
        </w:rPr>
      </w:pPr>
      <w:r w:rsidRPr="005373B3">
        <w:rPr>
          <w:rFonts w:eastAsia="Times New Roman" w:cstheme="minorHAnsi"/>
          <w:b/>
          <w:bCs/>
          <w:color w:val="333333"/>
          <w:sz w:val="21"/>
          <w:szCs w:val="21"/>
          <w:lang w:val="en-US" w:eastAsia="ru-RU"/>
        </w:rPr>
        <w:t>Psychological and Pedagogical Aspects of Implementing Competence-Based Approach in the Context of Transition to the Federal State Educational Standard</w:t>
      </w:r>
    </w:p>
    <w:p w:rsidR="004C5ED8" w:rsidRPr="005373B3" w:rsidRDefault="004C5ED8" w:rsidP="004C5ED8">
      <w:pPr>
        <w:shd w:val="clear" w:color="auto" w:fill="FFFFFF"/>
        <w:spacing w:after="150" w:line="300" w:lineRule="atLeast"/>
        <w:jc w:val="both"/>
        <w:rPr>
          <w:rFonts w:eastAsia="Times New Roman" w:cstheme="minorHAnsi"/>
          <w:color w:val="333333"/>
          <w:sz w:val="21"/>
          <w:szCs w:val="21"/>
          <w:lang w:val="en-US" w:eastAsia="ru-RU"/>
        </w:rPr>
      </w:pPr>
      <w:r w:rsidRPr="005373B3">
        <w:rPr>
          <w:rFonts w:eastAsia="Times New Roman" w:cstheme="minorHAnsi"/>
          <w:b/>
          <w:bCs/>
          <w:color w:val="333333"/>
          <w:sz w:val="21"/>
          <w:szCs w:val="21"/>
          <w:lang w:val="en-US" w:eastAsia="ru-RU"/>
        </w:rPr>
        <w:t>Abstract.</w:t>
      </w:r>
      <w:r w:rsidRPr="005373B3">
        <w:rPr>
          <w:rFonts w:eastAsia="Times New Roman" w:cstheme="minorHAnsi"/>
          <w:color w:val="333333"/>
          <w:sz w:val="21"/>
          <w:szCs w:val="21"/>
          <w:lang w:val="en-US" w:eastAsia="ru-RU"/>
        </w:rPr>
        <w:t> Aspects of psychological and pedagogical follow-up in the course of competence-based approach implementing are considered given the necessity to transfer to the second-generation Federal state educational standards. The issue of core competences diagnostics among the school learners is also concerned. The authors have elaborated criteria, measures and diagnostic-test toolkit for monitoring the learners’ core competences.</w:t>
      </w:r>
    </w:p>
    <w:p w:rsidR="004C5ED8" w:rsidRPr="005373B3" w:rsidRDefault="004C5ED8" w:rsidP="004C5ED8">
      <w:pPr>
        <w:shd w:val="clear" w:color="auto" w:fill="FFFFFF"/>
        <w:spacing w:after="150" w:line="300" w:lineRule="atLeast"/>
        <w:jc w:val="both"/>
        <w:rPr>
          <w:rFonts w:eastAsia="Times New Roman" w:cstheme="minorHAnsi"/>
          <w:color w:val="333333"/>
          <w:sz w:val="21"/>
          <w:szCs w:val="21"/>
          <w:lang w:val="en-US" w:eastAsia="ru-RU"/>
        </w:rPr>
      </w:pPr>
      <w:proofErr w:type="gramStart"/>
      <w:r w:rsidRPr="005373B3">
        <w:rPr>
          <w:rFonts w:eastAsia="Times New Roman" w:cstheme="minorHAnsi"/>
          <w:b/>
          <w:bCs/>
          <w:color w:val="333333"/>
          <w:sz w:val="21"/>
          <w:szCs w:val="21"/>
          <w:lang w:val="en-US" w:eastAsia="ru-RU"/>
        </w:rPr>
        <w:t>Keywords.</w:t>
      </w:r>
      <w:proofErr w:type="gramEnd"/>
      <w:r w:rsidRPr="005373B3">
        <w:rPr>
          <w:rFonts w:eastAsia="Times New Roman" w:cstheme="minorHAnsi"/>
          <w:color w:val="333333"/>
          <w:sz w:val="21"/>
          <w:szCs w:val="21"/>
          <w:lang w:val="en-US" w:eastAsia="ru-RU"/>
        </w:rPr>
        <w:t> </w:t>
      </w:r>
      <w:proofErr w:type="gramStart"/>
      <w:r w:rsidRPr="005373B3">
        <w:rPr>
          <w:rFonts w:eastAsia="Times New Roman" w:cstheme="minorHAnsi"/>
          <w:color w:val="333333"/>
          <w:sz w:val="21"/>
          <w:szCs w:val="21"/>
          <w:lang w:val="en-US" w:eastAsia="ru-RU"/>
        </w:rPr>
        <w:t>competence-based</w:t>
      </w:r>
      <w:proofErr w:type="gramEnd"/>
      <w:r w:rsidRPr="005373B3">
        <w:rPr>
          <w:rFonts w:eastAsia="Times New Roman" w:cstheme="minorHAnsi"/>
          <w:color w:val="333333"/>
          <w:sz w:val="21"/>
          <w:szCs w:val="21"/>
          <w:lang w:val="en-US" w:eastAsia="ru-RU"/>
        </w:rPr>
        <w:t xml:space="preserve"> approach, psychological and pedagogical follow-up, core competences (communicative, social, personality </w:t>
      </w:r>
      <w:proofErr w:type="spellStart"/>
      <w:r w:rsidRPr="005373B3">
        <w:rPr>
          <w:rFonts w:eastAsia="Times New Roman" w:cstheme="minorHAnsi"/>
          <w:color w:val="333333"/>
          <w:sz w:val="21"/>
          <w:szCs w:val="21"/>
          <w:lang w:val="en-US" w:eastAsia="ru-RU"/>
        </w:rPr>
        <w:t>selfimprovement</w:t>
      </w:r>
      <w:proofErr w:type="spellEnd"/>
      <w:r w:rsidRPr="005373B3">
        <w:rPr>
          <w:rFonts w:eastAsia="Times New Roman" w:cstheme="minorHAnsi"/>
          <w:color w:val="333333"/>
          <w:sz w:val="21"/>
          <w:szCs w:val="21"/>
          <w:lang w:val="en-US" w:eastAsia="ru-RU"/>
        </w:rPr>
        <w:t>).</w:t>
      </w:r>
    </w:p>
    <w:p w:rsidR="004C5ED8" w:rsidRPr="005373B3" w:rsidRDefault="004E00A9" w:rsidP="004C5ED8">
      <w:pPr>
        <w:spacing w:before="300" w:after="30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4C5ED8" w:rsidRPr="005373B3" w:rsidRDefault="004C5ED8" w:rsidP="004C5ED8">
      <w:pPr>
        <w:shd w:val="clear" w:color="auto" w:fill="FFFFFF"/>
        <w:spacing w:after="150" w:line="300" w:lineRule="atLeast"/>
        <w:jc w:val="both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 xml:space="preserve">Реализация </w:t>
      </w:r>
      <w:proofErr w:type="spellStart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компетентностного</w:t>
      </w:r>
      <w:proofErr w:type="spellEnd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 xml:space="preserve"> подхода в профильном обучении определяет новые требования к содержанию и методам психолого-педагогического сопровождения образовательного процесса.</w:t>
      </w:r>
    </w:p>
    <w:p w:rsidR="004C5ED8" w:rsidRPr="005373B3" w:rsidRDefault="004C5ED8" w:rsidP="004C5ED8">
      <w:pPr>
        <w:shd w:val="clear" w:color="auto" w:fill="FFFFFF"/>
        <w:spacing w:after="150" w:line="300" w:lineRule="atLeast"/>
        <w:jc w:val="both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lastRenderedPageBreak/>
        <w:t xml:space="preserve">В условиях реализации </w:t>
      </w:r>
      <w:proofErr w:type="spellStart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компетентностного</w:t>
      </w:r>
      <w:proofErr w:type="spellEnd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 xml:space="preserve"> подхода и введения ФГОС психолого-педагогическое сопровождение, на наш взгляд, необходимо рассматривать как систему взаимодействия обучающегося, педагога-психолога, учителя предметника, классного руководителя, администрации, родителей и других субъектов образовательного процесса, обеспечивающую создание условий для успешного обучения и психологического развития, а также формирования ключевых компетенций обучающегося.</w:t>
      </w:r>
    </w:p>
    <w:p w:rsidR="004C5ED8" w:rsidRPr="005373B3" w:rsidRDefault="004C5ED8" w:rsidP="004C5ED8">
      <w:pPr>
        <w:shd w:val="clear" w:color="auto" w:fill="FFFFFF"/>
        <w:spacing w:after="150" w:line="300" w:lineRule="atLeast"/>
        <w:jc w:val="both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 xml:space="preserve">При этом необходимо отметить, что ФГОС предлагают обязательный учет возрастных особенностей обучающихся при организации образовательного процесса. Согласно </w:t>
      </w:r>
      <w:proofErr w:type="spellStart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>деятельностному</w:t>
      </w:r>
      <w:proofErr w:type="spellEnd"/>
      <w:r w:rsidRPr="005373B3">
        <w:rPr>
          <w:rFonts w:eastAsia="Times New Roman" w:cstheme="minorHAnsi"/>
          <w:color w:val="333333"/>
          <w:sz w:val="21"/>
          <w:szCs w:val="21"/>
          <w:lang w:eastAsia="ru-RU"/>
        </w:rPr>
        <w:t xml:space="preserve"> подходу, наибольший вклад в развитие человека в каждом возрасте вносит его включение в ведущий вид деятельности, присущий каждому возрастному периоду. Это соответствует современному социальному заказу, нашедшему отражение в концепции Государственного стандарта среднего и общего образования. В ней приоритетом общества и системы образования является формирование у вступающих в жизнь молодых людей способности «самостоятельно решать встающие перед ними новые, еще неизвестные задачи» [3, с. 7], это возможно при условии, что образовательный процесс будет ориентирован на изменение ученика, выражающегося в личностном, социальном, коммуникативном и познавательном развитии. Отсюда следует, что всестороннее развитие личности обучающегося невозможно без (наличия) обладания коммуникативной, социальной и личностного самосовершенствования компетенциями. Как мы видим, эти компетенции нашли свое отражение во всех междисциплинарных и предметных образовательных программах.</w:t>
      </w:r>
    </w:p>
    <w:p w:rsidR="004C5ED8" w:rsidRPr="005373B3" w:rsidRDefault="004C5ED8" w:rsidP="004C5ED8">
      <w:pPr>
        <w:autoSpaceDE w:val="0"/>
        <w:autoSpaceDN w:val="0"/>
        <w:adjustRightInd w:val="0"/>
        <w:rPr>
          <w:rFonts w:cstheme="minorHAnsi"/>
          <w:sz w:val="21"/>
          <w:szCs w:val="21"/>
        </w:rPr>
      </w:pPr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Полный те</w:t>
      </w:r>
      <w:proofErr w:type="gramStart"/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кст ст</w:t>
      </w:r>
      <w:proofErr w:type="gramEnd"/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 xml:space="preserve">атьи опубликован в журнале </w:t>
      </w:r>
      <w:r w:rsidR="004E00A9">
        <w:rPr>
          <w:rFonts w:cstheme="minorHAnsi"/>
          <w:color w:val="333333"/>
          <w:sz w:val="21"/>
          <w:szCs w:val="21"/>
          <w:shd w:val="clear" w:color="auto" w:fill="FFFFFF"/>
        </w:rPr>
        <w:t>«</w:t>
      </w:r>
      <w:r w:rsidRPr="005373B3">
        <w:rPr>
          <w:rFonts w:cstheme="minorHAnsi"/>
          <w:sz w:val="21"/>
          <w:szCs w:val="21"/>
        </w:rPr>
        <w:t>Профильная школа</w:t>
      </w:r>
      <w:r w:rsidR="004E00A9">
        <w:rPr>
          <w:rFonts w:cstheme="minorHAnsi"/>
          <w:sz w:val="21"/>
          <w:szCs w:val="21"/>
        </w:rPr>
        <w:t>»</w:t>
      </w:r>
      <w:r w:rsidRPr="005373B3">
        <w:rPr>
          <w:rFonts w:cstheme="minorHAnsi"/>
          <w:sz w:val="21"/>
          <w:szCs w:val="21"/>
        </w:rPr>
        <w:t>. – 2014. – № 1 (62). – C. 34–42.</w:t>
      </w:r>
    </w:p>
    <w:p w:rsidR="004C5ED8" w:rsidRPr="005373B3" w:rsidRDefault="004C5ED8" w:rsidP="004C5ED8">
      <w:pPr>
        <w:shd w:val="clear" w:color="auto" w:fill="FFFFFF"/>
        <w:spacing w:after="150" w:line="300" w:lineRule="atLeast"/>
        <w:jc w:val="both"/>
        <w:rPr>
          <w:rFonts w:eastAsia="Times New Roman" w:cstheme="minorHAnsi"/>
          <w:color w:val="333333"/>
          <w:sz w:val="21"/>
          <w:szCs w:val="21"/>
          <w:lang w:eastAsia="ru-RU"/>
        </w:rPr>
      </w:pPr>
    </w:p>
    <w:p w:rsidR="004C5ED8" w:rsidRPr="005373B3" w:rsidRDefault="004C5ED8" w:rsidP="004C5ED8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Полный те</w:t>
      </w:r>
      <w:proofErr w:type="gramStart"/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кст ст</w:t>
      </w:r>
      <w:proofErr w:type="gramEnd"/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атей доступен подписчикам электронно-библиотечной системы «</w:t>
      </w:r>
      <w:hyperlink r:id="rId17" w:tgtFrame="_blank" w:history="1">
        <w:r w:rsidRPr="005373B3">
          <w:rPr>
            <w:rStyle w:val="a3"/>
            <w:rFonts w:cstheme="minorHAnsi"/>
            <w:color w:val="0088CC"/>
            <w:sz w:val="21"/>
            <w:szCs w:val="21"/>
            <w:u w:val="none"/>
            <w:shd w:val="clear" w:color="auto" w:fill="FFFFFF"/>
          </w:rPr>
          <w:t>ЗНАНИУМ</w:t>
        </w:r>
      </w:hyperlink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».</w:t>
      </w:r>
      <w:r w:rsidR="004E00A9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Подписку на журнал вы можете оформить в издательстве, позвонив по телефону</w:t>
      </w:r>
      <w:r w:rsidRPr="005373B3">
        <w:rPr>
          <w:rStyle w:val="apple-converted-space"/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5373B3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>+7 (495) 380-0540</w:t>
      </w:r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, или через каталог агентства «</w:t>
      </w:r>
      <w:proofErr w:type="spellStart"/>
      <w:r w:rsidRPr="005373B3">
        <w:rPr>
          <w:rFonts w:cstheme="minorHAnsi"/>
        </w:rPr>
        <w:fldChar w:fldCharType="begin"/>
      </w:r>
      <w:r w:rsidRPr="005373B3">
        <w:rPr>
          <w:rFonts w:cstheme="minorHAnsi"/>
        </w:rPr>
        <w:instrText xml:space="preserve"> HYPERLINK "http://www.rosp.ru/service/catalog/" \t "_blank" </w:instrText>
      </w:r>
      <w:r w:rsidRPr="005373B3">
        <w:rPr>
          <w:rFonts w:cstheme="minorHAnsi"/>
        </w:rPr>
        <w:fldChar w:fldCharType="separate"/>
      </w:r>
      <w:r w:rsidRPr="005373B3">
        <w:rPr>
          <w:rStyle w:val="a3"/>
          <w:rFonts w:cstheme="minorHAnsi"/>
          <w:color w:val="0088CC"/>
          <w:sz w:val="21"/>
          <w:szCs w:val="21"/>
          <w:u w:val="none"/>
          <w:shd w:val="clear" w:color="auto" w:fill="FFFFFF"/>
        </w:rPr>
        <w:t>Роспечать</w:t>
      </w:r>
      <w:r w:rsidRPr="005373B3">
        <w:rPr>
          <w:rFonts w:cstheme="minorHAnsi"/>
        </w:rPr>
        <w:fldChar w:fldCharType="end"/>
      </w:r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»</w:t>
      </w:r>
      <w:proofErr w:type="gramStart"/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.П</w:t>
      </w:r>
      <w:proofErr w:type="gramEnd"/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о</w:t>
      </w:r>
      <w:proofErr w:type="spellEnd"/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 xml:space="preserve"> вопросам приобретения файлов статей вы можете обратиться в издательство -</w:t>
      </w:r>
      <w:r w:rsidRPr="005373B3">
        <w:rPr>
          <w:rStyle w:val="apple-converted-space"/>
          <w:rFonts w:cstheme="minorHAnsi"/>
          <w:color w:val="333333"/>
          <w:sz w:val="21"/>
          <w:szCs w:val="21"/>
          <w:shd w:val="clear" w:color="auto" w:fill="FFFFFF"/>
        </w:rPr>
        <w:t> </w:t>
      </w:r>
      <w:hyperlink r:id="rId18" w:history="1">
        <w:r w:rsidRPr="005373B3">
          <w:rPr>
            <w:rStyle w:val="a3"/>
            <w:rFonts w:cstheme="minorHAnsi"/>
            <w:color w:val="0088CC"/>
            <w:sz w:val="21"/>
            <w:szCs w:val="21"/>
            <w:u w:val="none"/>
            <w:shd w:val="clear" w:color="auto" w:fill="FFFFFF"/>
          </w:rPr>
          <w:t>контакты</w:t>
        </w:r>
      </w:hyperlink>
      <w:r w:rsidRPr="005373B3">
        <w:rPr>
          <w:rFonts w:cstheme="minorHAnsi"/>
          <w:color w:val="333333"/>
          <w:sz w:val="21"/>
          <w:szCs w:val="21"/>
          <w:shd w:val="clear" w:color="auto" w:fill="FFFFFF"/>
        </w:rPr>
        <w:t>."</w:t>
      </w:r>
    </w:p>
    <w:p w:rsidR="004C5ED8" w:rsidRPr="005373B3" w:rsidRDefault="004C5ED8" w:rsidP="004C5ED8">
      <w:pPr>
        <w:rPr>
          <w:rFonts w:cstheme="minorHAnsi"/>
          <w:color w:val="333333"/>
          <w:sz w:val="21"/>
          <w:szCs w:val="21"/>
          <w:shd w:val="clear" w:color="auto" w:fill="F5F5F5"/>
        </w:rPr>
      </w:pPr>
      <w:r w:rsidRPr="005373B3">
        <w:rPr>
          <w:rFonts w:cstheme="minorHAnsi"/>
          <w:color w:val="333333"/>
          <w:sz w:val="21"/>
          <w:szCs w:val="21"/>
          <w:shd w:val="clear" w:color="auto" w:fill="F5F5F5"/>
        </w:rPr>
        <w:t>C) НИЦ ИНФРА-М</w:t>
      </w:r>
      <w:bookmarkStart w:id="0" w:name="_GoBack"/>
      <w:bookmarkEnd w:id="0"/>
    </w:p>
    <w:p w:rsidR="004C5ED8" w:rsidRDefault="004C5ED8" w:rsidP="004C5ED8">
      <w:pPr>
        <w:rPr>
          <w:color w:val="333333"/>
          <w:sz w:val="21"/>
          <w:szCs w:val="21"/>
          <w:shd w:val="clear" w:color="auto" w:fill="F5F5F5"/>
        </w:rPr>
      </w:pPr>
    </w:p>
    <w:p w:rsidR="004C5ED8" w:rsidRPr="00A40BE9" w:rsidRDefault="004C5ED8" w:rsidP="004C5ED8">
      <w:pPr>
        <w:rPr>
          <w:color w:val="333333"/>
          <w:sz w:val="21"/>
          <w:szCs w:val="21"/>
          <w:shd w:val="clear" w:color="auto" w:fill="F5F5F5"/>
        </w:rPr>
      </w:pPr>
    </w:p>
    <w:p w:rsidR="005D2625" w:rsidRDefault="005D2625"/>
    <w:sectPr w:rsidR="005D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605A"/>
    <w:multiLevelType w:val="multilevel"/>
    <w:tmpl w:val="6806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87"/>
    <w:rsid w:val="004C5ED8"/>
    <w:rsid w:val="004E00A9"/>
    <w:rsid w:val="005D2625"/>
    <w:rsid w:val="00A5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5ED8"/>
  </w:style>
  <w:style w:type="paragraph" w:styleId="a4">
    <w:name w:val="Balloon Text"/>
    <w:basedOn w:val="a"/>
    <w:link w:val="a5"/>
    <w:uiPriority w:val="99"/>
    <w:semiHidden/>
    <w:unhideWhenUsed/>
    <w:rsid w:val="004C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5ED8"/>
  </w:style>
  <w:style w:type="paragraph" w:styleId="a4">
    <w:name w:val="Balloon Text"/>
    <w:basedOn w:val="a"/>
    <w:link w:val="a5"/>
    <w:uiPriority w:val="99"/>
    <w:semiHidden/>
    <w:unhideWhenUsed/>
    <w:rsid w:val="004C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ra-m.ru/" TargetMode="External"/><Relationship Id="rId13" Type="http://schemas.openxmlformats.org/officeDocument/2006/relationships/hyperlink" Target="http://www.naukaru.ru/journal/view/Profilnaya-shkola" TargetMode="External"/><Relationship Id="rId18" Type="http://schemas.openxmlformats.org/officeDocument/2006/relationships/hyperlink" Target="http://naukaru.ru/articles/contact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naukaru.ru/journal/alphabetic/" TargetMode="External"/><Relationship Id="rId17" Type="http://schemas.openxmlformats.org/officeDocument/2006/relationships/hyperlink" Target="http://www.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ukaru.ru/journal/issue/18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ukaru.ru/" TargetMode="External"/><Relationship Id="rId11" Type="http://schemas.openxmlformats.org/officeDocument/2006/relationships/hyperlink" Target="http://www.naukar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ukaru.ru/journal/view/Profilnaya-shkola" TargetMode="External"/><Relationship Id="rId10" Type="http://schemas.openxmlformats.org/officeDocument/2006/relationships/hyperlink" Target="http://naukar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www.naukaru.ru/journal/issue/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Company>Krokoz™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2015-01-13T17:40:00Z</dcterms:created>
  <dcterms:modified xsi:type="dcterms:W3CDTF">2015-01-13T17:56:00Z</dcterms:modified>
</cp:coreProperties>
</file>