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5" w:rsidRDefault="00E845C5" w:rsidP="00E845C5">
      <w:pPr>
        <w:ind w:right="-82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На бланке</w:t>
      </w:r>
    </w:p>
    <w:p w:rsidR="00E845C5" w:rsidRDefault="00E845C5" w:rsidP="00E845C5">
      <w:pPr>
        <w:ind w:right="-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Выдвижение на премию</w:t>
      </w:r>
    </w:p>
    <w:p w:rsidR="00D11CCC" w:rsidRPr="005279B7" w:rsidRDefault="00E845C5" w:rsidP="00E845C5">
      <w:pPr>
        <w:pStyle w:val="a3"/>
        <w:tabs>
          <w:tab w:val="left" w:pos="4025"/>
        </w:tabs>
        <w:jc w:val="center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szCs w:val="28"/>
        </w:rPr>
        <w:t>монографии</w:t>
      </w:r>
      <w:r w:rsidRPr="00757877">
        <w:rPr>
          <w:szCs w:val="28"/>
        </w:rPr>
        <w:t xml:space="preserve"> Богоявленской Д.Б., Сусоколовой И.А.</w:t>
      </w:r>
    </w:p>
    <w:p w:rsidR="00E845C5" w:rsidRPr="00757877" w:rsidRDefault="00E845C5" w:rsidP="00E845C5">
      <w:pPr>
        <w:pStyle w:val="a3"/>
        <w:tabs>
          <w:tab w:val="left" w:pos="4025"/>
        </w:tabs>
        <w:jc w:val="center"/>
        <w:rPr>
          <w:b/>
          <w:szCs w:val="28"/>
        </w:rPr>
      </w:pPr>
      <w:r w:rsidRPr="00757877">
        <w:rPr>
          <w:szCs w:val="28"/>
        </w:rPr>
        <w:t xml:space="preserve"> </w:t>
      </w:r>
      <w:r w:rsidRPr="00757877">
        <w:rPr>
          <w:b/>
          <w:szCs w:val="28"/>
        </w:rPr>
        <w:t>«Психометрическая интерпретация творчества.</w:t>
      </w:r>
    </w:p>
    <w:p w:rsidR="00E845C5" w:rsidRPr="00757877" w:rsidRDefault="00E845C5" w:rsidP="00E845C5">
      <w:pPr>
        <w:pStyle w:val="a3"/>
        <w:tabs>
          <w:tab w:val="left" w:pos="4025"/>
        </w:tabs>
        <w:jc w:val="center"/>
        <w:rPr>
          <w:b/>
        </w:rPr>
      </w:pPr>
      <w:r w:rsidRPr="00757877">
        <w:rPr>
          <w:b/>
        </w:rPr>
        <w:t xml:space="preserve"> Научный вклад Дж.Гилфорда»                                        </w:t>
      </w:r>
    </w:p>
    <w:p w:rsidR="00E845C5" w:rsidRDefault="00E845C5" w:rsidP="00E845C5">
      <w:pPr>
        <w:ind w:right="-82"/>
        <w:rPr>
          <w:sz w:val="28"/>
          <w:szCs w:val="28"/>
        </w:rPr>
      </w:pPr>
    </w:p>
    <w:p w:rsidR="00E845C5" w:rsidRPr="00E845C5" w:rsidRDefault="00E845C5" w:rsidP="00E845C5">
      <w:pPr>
        <w:pStyle w:val="a3"/>
        <w:tabs>
          <w:tab w:val="left" w:pos="4025"/>
        </w:tabs>
        <w:jc w:val="both"/>
        <w:rPr>
          <w:szCs w:val="28"/>
        </w:rPr>
      </w:pPr>
      <w:r w:rsidRPr="00E845C5">
        <w:rPr>
          <w:szCs w:val="28"/>
        </w:rPr>
        <w:t>Зеленоградский Центр психолого-медико-социальн</w:t>
      </w:r>
      <w:r>
        <w:rPr>
          <w:szCs w:val="28"/>
        </w:rPr>
        <w:t xml:space="preserve">ого сопровождения   </w:t>
      </w:r>
      <w:r w:rsidRPr="00E845C5">
        <w:rPr>
          <w:szCs w:val="28"/>
        </w:rPr>
        <w:t xml:space="preserve"> выдви</w:t>
      </w:r>
      <w:r>
        <w:rPr>
          <w:szCs w:val="28"/>
        </w:rPr>
        <w:t>гает на премию «Золотой психеи»</w:t>
      </w:r>
      <w:r w:rsidRPr="00E845C5">
        <w:rPr>
          <w:szCs w:val="28"/>
        </w:rPr>
        <w:t xml:space="preserve"> </w:t>
      </w:r>
      <w:r>
        <w:rPr>
          <w:szCs w:val="28"/>
        </w:rPr>
        <w:t>монографию Богоявленской Д.Б.,</w:t>
      </w:r>
      <w:r w:rsidRPr="00757877">
        <w:rPr>
          <w:szCs w:val="28"/>
        </w:rPr>
        <w:t>Сусоколовой И.А.</w:t>
      </w:r>
      <w:r w:rsidRPr="00E845C5">
        <w:rPr>
          <w:szCs w:val="28"/>
        </w:rPr>
        <w:t xml:space="preserve"> «Психометрическая интерпретация творчества.</w:t>
      </w:r>
    </w:p>
    <w:p w:rsidR="00E845C5" w:rsidRPr="00E845C5" w:rsidRDefault="00E845C5" w:rsidP="00E845C5">
      <w:pPr>
        <w:pStyle w:val="a3"/>
        <w:tabs>
          <w:tab w:val="left" w:pos="4025"/>
        </w:tabs>
        <w:ind w:firstLine="0"/>
        <w:jc w:val="both"/>
        <w:rPr>
          <w:szCs w:val="28"/>
        </w:rPr>
      </w:pPr>
      <w:r w:rsidRPr="00E845C5">
        <w:t>Научный вклад Дж.Гилфорда»</w:t>
      </w:r>
      <w:r>
        <w:t>,</w:t>
      </w:r>
      <w:r w:rsidRPr="00E845C5">
        <w:rPr>
          <w:szCs w:val="28"/>
        </w:rPr>
        <w:t xml:space="preserve"> поскольку </w:t>
      </w:r>
      <w:r w:rsidR="00C42F44">
        <w:rPr>
          <w:szCs w:val="28"/>
        </w:rPr>
        <w:t>в этой книге впервые в мировой научной литературе  представлен во всем объеме</w:t>
      </w:r>
      <w:r w:rsidR="005279B7">
        <w:rPr>
          <w:szCs w:val="28"/>
        </w:rPr>
        <w:t xml:space="preserve"> процесс становления </w:t>
      </w:r>
      <w:r w:rsidR="00C42F44">
        <w:rPr>
          <w:szCs w:val="28"/>
        </w:rPr>
        <w:t xml:space="preserve"> и развития подхода Дж. Гилфорда в контексте становления самой тестологической парадигмы. Н</w:t>
      </w:r>
      <w:r w:rsidRPr="00E845C5">
        <w:rPr>
          <w:szCs w:val="28"/>
        </w:rPr>
        <w:t xml:space="preserve">аучно-практический вектор </w:t>
      </w:r>
      <w:r w:rsidR="00C42F44">
        <w:rPr>
          <w:szCs w:val="28"/>
        </w:rPr>
        <w:t xml:space="preserve">монографии </w:t>
      </w:r>
      <w:r w:rsidRPr="00E845C5">
        <w:rPr>
          <w:szCs w:val="28"/>
        </w:rPr>
        <w:t xml:space="preserve">лежит в плоскости разрешения проблемы методологического основания  психологии  творческих способностей детей и подростков и их развития. На сегодня это направление можно отнести к разряду наиболее актуальных тем современного образования и одновременно сложных, запутанных и противоречивых разделов психологической науки.   </w:t>
      </w:r>
    </w:p>
    <w:p w:rsidR="00E845C5" w:rsidRPr="00E845C5" w:rsidRDefault="00E845C5" w:rsidP="00E845C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845C5">
        <w:rPr>
          <w:rFonts w:ascii="Times New Roman" w:hAnsi="Times New Roman"/>
          <w:sz w:val="28"/>
          <w:szCs w:val="28"/>
        </w:rPr>
        <w:t xml:space="preserve">Богоявленская,  не отступая от академической формы изложения, всегда стремится быть понятой,  прежде всего, практическими психологами, искренне пытающимися  разобраться как в вопросах методологического основания творческих способностей, так и вопросах выбора диагностических средств и тактик психолого-педагогического сопровождения одаренных людей.  </w:t>
      </w:r>
    </w:p>
    <w:p w:rsidR="00E845C5" w:rsidRPr="00E845C5" w:rsidRDefault="00E845C5" w:rsidP="00E845C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845C5">
        <w:rPr>
          <w:rFonts w:ascii="Times New Roman" w:hAnsi="Times New Roman"/>
          <w:sz w:val="28"/>
          <w:szCs w:val="28"/>
        </w:rPr>
        <w:t xml:space="preserve">В своих работах она одна из первых в отечественной психологической науке подвергла всестороннему и критическому анализу работы Дж. Гилфорда, связанные с креативностью, которые, к сожалению и сегодня   популярны в нашем образовании.   Принципиально, что критика «отца» дивергентности Д.Б. Богоявленской никогда не носила «частного» характера. Она прозорливо предупреждала, что  если психологи искренне уверуют в то, что главное в формировании творчески одаренной личности —  научить человека нестандартному мышлению, умению генерировать оригинальные,  необычные идеи, то их     поджидает  стратегически - целевая   опасность. Упор на создание необычного, ни  у кого не встречающегося продукта,  стимулируя фантазию, может тормозить развитие,   в первую очередь, теоретического мышления – одного из основных компонентов творческой индивидуальности. Увы, мы видим, что простота тестов на креативность для многих   психологов оказалась Троянским конем, так как на практике привела к  противоречиям результатов диагностики и  реальности, к пониманию того, что высокие баллы по тесту </w:t>
      </w:r>
      <w:r w:rsidRPr="00E845C5">
        <w:rPr>
          <w:rFonts w:ascii="Times New Roman" w:hAnsi="Times New Roman"/>
          <w:sz w:val="28"/>
          <w:szCs w:val="28"/>
        </w:rPr>
        <w:lastRenderedPageBreak/>
        <w:t>далеко не всегда говорят о высоком творческом потенциале испытуемого. Благодаря практическим пособиям Д.Б.Богоявленской и личным контактам с ней в течение десяти лет нам удалось избежать подобных ошибок. Однако,  в этот диагностический  тупик и сегодня «заплывают корабли» не только любителей, но и профессиональных психологов, ищущих одаренных детей. Это обстоятельство делает научные труды Д.Б.Богоявленской по прежнему актуальными.</w:t>
      </w:r>
    </w:p>
    <w:p w:rsidR="005905E3" w:rsidRPr="00030BE0" w:rsidRDefault="005905E3" w:rsidP="00030BE0">
      <w:pPr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ситуации, когда в течение полувека теоретические представления Дж. Гилфорда внедрялись в сознание наших ученых, а практика образования и отбор одаренных людей и сегодня использует его тесты по всей стране, раскрытие реального содержания позиции Дж. Гилфорда -  была одной из главных задач </w:t>
      </w:r>
      <w:r w:rsidR="00FA6742" w:rsidRPr="00FA6742">
        <w:rPr>
          <w:rFonts w:ascii="Times New Roman" w:hAnsi="Times New Roman"/>
          <w:sz w:val="28"/>
          <w:szCs w:val="28"/>
        </w:rPr>
        <w:t xml:space="preserve"> </w:t>
      </w:r>
      <w:r w:rsidR="00FA6742">
        <w:rPr>
          <w:rFonts w:ascii="Times New Roman" w:hAnsi="Times New Roman"/>
          <w:sz w:val="28"/>
          <w:szCs w:val="28"/>
        </w:rPr>
        <w:t>Дианы Борисовны Богоявленской</w:t>
      </w:r>
      <w:r>
        <w:rPr>
          <w:rFonts w:ascii="Times New Roman" w:hAnsi="Times New Roman"/>
          <w:sz w:val="28"/>
          <w:szCs w:val="28"/>
        </w:rPr>
        <w:t>, с которой он</w:t>
      </w:r>
      <w:r w:rsidR="00FA6742">
        <w:rPr>
          <w:rFonts w:ascii="Times New Roman" w:hAnsi="Times New Roman"/>
          <w:sz w:val="28"/>
          <w:szCs w:val="28"/>
        </w:rPr>
        <w:t>а вместе со своей ученицей</w:t>
      </w:r>
      <w:r>
        <w:rPr>
          <w:rFonts w:ascii="Times New Roman" w:hAnsi="Times New Roman"/>
          <w:sz w:val="28"/>
          <w:szCs w:val="28"/>
        </w:rPr>
        <w:t xml:space="preserve"> блестяще </w:t>
      </w:r>
      <w:r w:rsidRPr="00030BE0">
        <w:rPr>
          <w:rFonts w:ascii="Times New Roman" w:hAnsi="Times New Roman"/>
          <w:sz w:val="28"/>
          <w:szCs w:val="28"/>
        </w:rPr>
        <w:t>справил</w:t>
      </w:r>
      <w:r w:rsidR="00FA6742">
        <w:rPr>
          <w:rFonts w:ascii="Times New Roman" w:hAnsi="Times New Roman"/>
          <w:sz w:val="28"/>
          <w:szCs w:val="28"/>
        </w:rPr>
        <w:t>а</w:t>
      </w:r>
      <w:r w:rsidRPr="00030BE0">
        <w:rPr>
          <w:rFonts w:ascii="Times New Roman" w:hAnsi="Times New Roman"/>
          <w:sz w:val="28"/>
          <w:szCs w:val="28"/>
        </w:rPr>
        <w:t>сь.</w:t>
      </w:r>
    </w:p>
    <w:p w:rsidR="005905E3" w:rsidRPr="00030BE0" w:rsidRDefault="005905E3" w:rsidP="00030BE0">
      <w:pPr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030BE0">
        <w:rPr>
          <w:rFonts w:ascii="Times New Roman" w:hAnsi="Times New Roman"/>
          <w:sz w:val="28"/>
          <w:szCs w:val="28"/>
        </w:rPr>
        <w:t xml:space="preserve">Системные основания и параметры разработки теории   определяют модуль оценки вклада научных достижений ученого в соответствующую область знаний. Именно поэтому авторами столь подробно описана история и путь, по которому шел Дж. Гилфорд, создавая свою теорию креативности. Это особенно ценно, т.к. большинство сегодня живущих ученых и практиков, использующих его диагностический инстументарий, не знают, а порой и не имеют возможности оценить ту историческую ситуацию и тот далеко не прямой путь, по которому шел ученый к формулированию своей гипотезы. В монографии </w:t>
      </w:r>
      <w:r>
        <w:rPr>
          <w:rFonts w:ascii="Times New Roman" w:hAnsi="Times New Roman"/>
          <w:sz w:val="28"/>
          <w:szCs w:val="28"/>
        </w:rPr>
        <w:t>подробно и точно показано какое</w:t>
      </w:r>
      <w:r w:rsidRPr="00030BE0">
        <w:rPr>
          <w:rFonts w:ascii="Times New Roman" w:hAnsi="Times New Roman"/>
          <w:sz w:val="28"/>
          <w:szCs w:val="28"/>
        </w:rPr>
        <w:t xml:space="preserve"> решающее   влияние на формирование научной позиции Гилфорда оказала психометрическая теория, не просто главенствующая, а являвшаяся единственной парадигмой количественной оценки человеческой познавательной продуктивности. </w:t>
      </w:r>
    </w:p>
    <w:p w:rsidR="005905E3" w:rsidRDefault="005905E3" w:rsidP="00436C81">
      <w:pPr>
        <w:pStyle w:val="a3"/>
        <w:tabs>
          <w:tab w:val="left" w:pos="4025"/>
        </w:tabs>
        <w:jc w:val="both"/>
      </w:pPr>
      <w:r>
        <w:t xml:space="preserve">Авторы точно определили основание научной школы Гилфорда. Они подчеркнули, что  теоретическая основа научной позиции Гилфорда сформировалась под влиянием концепции ассоцианизма, заложенной Гальтоном в фундамент психометрической парадигмы, и взгляда Титченера на соотношение структуральной и функциональной психологии. Стимульно – реактивная схема эксперимента и аппарат факторного анализа определяли, по Гилфорду, необходимое методическое оснащение измерительного подхода. Именно поэтому, как «ортодоксальный» психометрик, он строго опирался на каноны этой парадигмы и неукоснительно следовал им в своей исследовательской работе. Авторы монографии показывают «невидимую миру драму» честного ученого,   утверждавшего, что у него не было амбиций построения общепсихологической теории. Но именно как последовательный и добросовестный исследователь он закономерно и неизбежно  пришел к ней. Интересно и крайне важно, с точки зрения задачи, которую ставили перед собой авторы показать, «вскрыть»  и то негативное отношение, которое было у Гилфорда  к теоретикам. Оно действительно «оправдывалось» его  позицией чистого эмпирика: его видение и понимание предмета исследования определялось тем непосредственным опытом, «до которого позволял </w:t>
      </w:r>
      <w:r>
        <w:lastRenderedPageBreak/>
        <w:t xml:space="preserve">дотянуться метод», а теория представлялась упорядочиванием сырого эмпирического материала   и строилась сообразно возможностям метода. И в этом была его трагедия: он попал в «методологическую ловушку» - легко объединяя формализуемые показатели из любой концепции, Гилфорд не только совместил количественные оценки признаков из бихевиоризма, гештальтпсихологии, но и предложил формализацию протекания мыслительного процесса. Его модель решения проблем эклектично сочетала в себе и ассоциативное вспоминание, и «пробы и ошибки», и подчиненность цели («детерминирующая тенденция») в различных сферах психического функционирования: чувствительность, восприятие, внимание, память, когнитивные проявления, мышление, креативность. Более того, и  во всех аспектах: исполнительном, оценочном, продуктивном. Лишенная субъекта деятельности эта формальная схема подразумевала, что данная задача с заданными требованиями однозначно детерминирует цель деятельности решающего ее человека (какими бы личностными особенностями он не обладал)  и определяет последовательные этапы протекания мыслительных процессов. </w:t>
      </w:r>
      <w:r w:rsidRPr="005279B7">
        <w:rPr>
          <w:b/>
        </w:rPr>
        <w:t>Эта модель – модель возможно неплохой компьютерной машины, лишенной главного параметра, реализующего творческое начало в человеке – его личности.</w:t>
      </w:r>
      <w:r>
        <w:t xml:space="preserve"> Эта модель  не допускает выхода за ее пределы внешне заданного</w:t>
      </w:r>
      <w:r w:rsidR="00FA6742">
        <w:t>.</w:t>
      </w:r>
    </w:p>
    <w:p w:rsidR="005905E3" w:rsidRDefault="005905E3" w:rsidP="00F92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показали  центральное «слабое звено» психометрического подхода – опору лишь на формальные показатели, следствием чего и стала потеря содержания, содержательная неопределенность его базовых терминов - «дивергентная продуктивность или мышление».   Психологическое содержание терминов просто заимствовалось  из описания предмета деятельности,  а  такой подход не мог в принципе предложить содержательной трактовки какого-то психического феномена. </w:t>
      </w:r>
    </w:p>
    <w:p w:rsidR="005905E3" w:rsidRDefault="005905E3" w:rsidP="00F92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подчеркивают, что Гилфорд понимал неэффективность использования объяснительного принципа ассоциаций в интерпретации механизма креативности, но, не располагая альтернативой, он,   следуя современным веяниям, попытался привлечь в психологию термины новой в то время информационной теории.     Авторы показали, что и в этом виде психометрический подход   Гилфорда моделировал в вероятностных терминах лишь формальные признаки психической реальности, которые были  заимствованы из концепций, рассматривающих поведение исключительно по стимульно – реактивной схеме </w:t>
      </w:r>
    </w:p>
    <w:p w:rsidR="005905E3" w:rsidRPr="001F6A7F" w:rsidRDefault="005905E3" w:rsidP="00F92E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t xml:space="preserve"> </w:t>
      </w:r>
      <w:r w:rsidRPr="001F6A7F">
        <w:rPr>
          <w:rFonts w:ascii="Times New Roman" w:hAnsi="Times New Roman"/>
          <w:b/>
          <w:sz w:val="28"/>
          <w:szCs w:val="28"/>
        </w:rPr>
        <w:t xml:space="preserve">Авторы подробно описали эволюцию, которая происходила во взглядах ученых на выдвинутую теорию Гилфорда. Они также показали, что, в виду отсутствия содержательных признаков изучаемых явлений вполне предсказуем был и характер критики со стороны коллег – психометриков:  направленная, прежде всего, на использованный Гилфордом инструмент, она коснулась и концептуализации креативности, и ее представленности в модели СИ. </w:t>
      </w:r>
    </w:p>
    <w:p w:rsidR="005905E3" w:rsidRPr="00436C81" w:rsidRDefault="005905E3" w:rsidP="00436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A7F">
        <w:rPr>
          <w:rFonts w:ascii="Times New Roman" w:hAnsi="Times New Roman"/>
          <w:b/>
          <w:sz w:val="28"/>
          <w:szCs w:val="28"/>
        </w:rPr>
        <w:lastRenderedPageBreak/>
        <w:t xml:space="preserve">Авторы справедливо отметили, что отвергая осторожность и став «заложниками правительственного заказа»,   психометрики    разработали явно «сырые» способы   ранней идентификации научных и технологических талантов». Более того, авторам удалось, опираясь на критику ведущих  психологов, работающих в этой парадигме, показать, что предлагаемые Гилфордом, Торренсом и др. способы никак не коррелировали с ими же заявленными  целями «интенсивного тренинга талантливых детей в науке и сопутствующих дисциплинах и стимулирования их к выбору карьеры в национальных интересах», и в итоге, так и  не привели к формированию «поколения высших талантов».      </w:t>
      </w:r>
    </w:p>
    <w:p w:rsidR="005905E3" w:rsidRDefault="005905E3" w:rsidP="00436C81">
      <w:pPr>
        <w:pStyle w:val="a3"/>
        <w:tabs>
          <w:tab w:val="left" w:pos="4025"/>
        </w:tabs>
        <w:jc w:val="both"/>
        <w:rPr>
          <w:szCs w:val="28"/>
        </w:rPr>
      </w:pPr>
      <w:r w:rsidRPr="00436C81">
        <w:rPr>
          <w:szCs w:val="28"/>
        </w:rPr>
        <w:t>Обращаясь к современному</w:t>
      </w:r>
      <w:r>
        <w:rPr>
          <w:szCs w:val="28"/>
        </w:rPr>
        <w:t xml:space="preserve"> читателю, авторы показали существование определенных параллелей с днем сегодняшним, и в этой связи отметили два важных момента. Во-первых, природа тестолого – статистического подхода обязательно требует вклада армии исследователей, необходимой для охвата очень больших выборок и массовой «обкатки» любого инструментального нововведения. Если полученные в разных исследованиях эмпирические результаты согласуются, то установленный факт и его интерпретация считаются общепринятыми. Если не согласуются, их изучение откладывается до разработки нового усовершенствования психометрического аппарата. </w:t>
      </w:r>
    </w:p>
    <w:p w:rsidR="005905E3" w:rsidRDefault="005905E3" w:rsidP="00436C81">
      <w:pPr>
        <w:pStyle w:val="a3"/>
        <w:tabs>
          <w:tab w:val="left" w:pos="4025"/>
        </w:tabs>
        <w:jc w:val="both"/>
        <w:rPr>
          <w:szCs w:val="28"/>
        </w:rPr>
      </w:pPr>
      <w:r>
        <w:rPr>
          <w:szCs w:val="28"/>
        </w:rPr>
        <w:t>Во-вторых, не случайно, что педагогические психологи составили авангард последователей Гилфорда. Практически занимаясь отбором потенциально креативных детей и их развитием, именно практические психологи наиболее остро испытывали нужду в эффективных методах установления признаков этой высшей духовной способности и специфики ее проявлений в детском возрасте. Креативные батареи тестов Гилфорда, Торренса и их последователей были просты, удобны, а потому так легко, быстро и масштабно заполнили имеющийся в этом направлении методический вакуум, став, как и тесты на IG, ловушкой для практических психологов во всем мире на долгие годы.</w:t>
      </w:r>
    </w:p>
    <w:p w:rsidR="005905E3" w:rsidRDefault="005905E3" w:rsidP="00436C81">
      <w:pPr>
        <w:pStyle w:val="a3"/>
        <w:tabs>
          <w:tab w:val="left" w:pos="4025"/>
        </w:tabs>
        <w:jc w:val="both"/>
        <w:rPr>
          <w:szCs w:val="28"/>
        </w:rPr>
      </w:pPr>
      <w:r>
        <w:rPr>
          <w:szCs w:val="28"/>
        </w:rPr>
        <w:t>Авторы показали и другую опасность,  стоящую за теорией   дивергентного мышления. Эта идея   заставила пересмотреть консервативные формы педагогической практики, которая, по всеобщему убеждению, «душила креативные изъявления» (</w:t>
      </w:r>
      <w:r>
        <w:rPr>
          <w:szCs w:val="28"/>
          <w:lang w:val="en-US"/>
        </w:rPr>
        <w:t>Feldman</w:t>
      </w:r>
      <w:r>
        <w:rPr>
          <w:szCs w:val="28"/>
        </w:rPr>
        <w:t xml:space="preserve">, </w:t>
      </w:r>
      <w:r>
        <w:rPr>
          <w:szCs w:val="28"/>
          <w:lang w:val="en-US"/>
        </w:rPr>
        <w:t>Csikszentmihalyi</w:t>
      </w:r>
      <w:r>
        <w:rPr>
          <w:szCs w:val="28"/>
        </w:rPr>
        <w:t xml:space="preserve">, </w:t>
      </w:r>
      <w:r>
        <w:rPr>
          <w:szCs w:val="28"/>
          <w:lang w:val="en-US"/>
        </w:rPr>
        <w:t>Gardner</w:t>
      </w:r>
      <w:r>
        <w:rPr>
          <w:szCs w:val="28"/>
        </w:rPr>
        <w:t xml:space="preserve"> 1994) Но воспринятая буквально, она воплотилась в мерах непосредственного «ослабления оков свободного самовыражения». К сожалению, в этом подходе не предусматривался жизненно важный и необходимый этап долгой и кропотливой работы по развитию интеллектуальной и воспитанию эмоционально – личностной основы креативного самовыражения. Без сформированного на познавательном базисе духовного ядра личности, содержащего ее сущностные свойства, самовыражение превращается в спонтанное фонтанирование оригинальност</w:t>
      </w:r>
      <w:r w:rsidR="00476BDE">
        <w:rPr>
          <w:szCs w:val="28"/>
        </w:rPr>
        <w:t>и как выч</w:t>
      </w:r>
      <w:r w:rsidR="002E0E42">
        <w:rPr>
          <w:szCs w:val="28"/>
        </w:rPr>
        <w:t>у</w:t>
      </w:r>
      <w:r w:rsidR="00476BDE">
        <w:rPr>
          <w:szCs w:val="28"/>
        </w:rPr>
        <w:t>рности</w:t>
      </w:r>
      <w:r>
        <w:rPr>
          <w:szCs w:val="28"/>
        </w:rPr>
        <w:t>.</w:t>
      </w:r>
    </w:p>
    <w:p w:rsidR="005905E3" w:rsidRDefault="005905E3" w:rsidP="00436C81">
      <w:pPr>
        <w:pStyle w:val="a3"/>
        <w:tabs>
          <w:tab w:val="left" w:pos="4025"/>
        </w:tabs>
        <w:jc w:val="both"/>
        <w:rPr>
          <w:szCs w:val="28"/>
        </w:rPr>
      </w:pPr>
      <w:r>
        <w:rPr>
          <w:szCs w:val="28"/>
        </w:rPr>
        <w:t xml:space="preserve">  Сообразно роли исследований креативности в «долгожданном отходе от традиционного пошагового обучения», ценность «индивидуального самовыражения» возобладала над «социальной ответственностью» (Clifford 1964). Программы для детей и взрослых «усиливающие креативность»   стали </w:t>
      </w:r>
      <w:r>
        <w:rPr>
          <w:szCs w:val="28"/>
        </w:rPr>
        <w:lastRenderedPageBreak/>
        <w:t>очень популярными у американцев не по «державным соображениям», а потому, что каждый гражданин стремился к эффективному достижению большего удовлетворения жизнью и работой. Тренинги повышения креативности подгонялись под интересы персонального и корпоративного выигрыша в условиях соперничества (</w:t>
      </w:r>
      <w:r>
        <w:rPr>
          <w:szCs w:val="28"/>
          <w:lang w:val="en-US"/>
        </w:rPr>
        <w:t>Parnes</w:t>
      </w:r>
      <w:r>
        <w:rPr>
          <w:szCs w:val="28"/>
        </w:rPr>
        <w:t xml:space="preserve"> 1967).   </w:t>
      </w:r>
    </w:p>
    <w:p w:rsidR="005905E3" w:rsidRDefault="005905E3" w:rsidP="00F92E06">
      <w:pPr>
        <w:pStyle w:val="a3"/>
        <w:ind w:right="72" w:firstLine="547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Не смотря на название своей книги, авторы не ограничились историческим обзором и анализом слабых мест теории креативности ДЖ. Гилфорда. Они прекрасно осознавали, что </w:t>
      </w:r>
      <w:r>
        <w:rPr>
          <w:b/>
          <w:szCs w:val="28"/>
        </w:rPr>
        <w:t xml:space="preserve">  </w:t>
      </w:r>
      <w:r>
        <w:rPr>
          <w:szCs w:val="28"/>
        </w:rPr>
        <w:t xml:space="preserve">дать объективную оценку преимуществ и недостатков рассмотрения явления в одной парадигме можно только «со стороны», с позиций другой парадигмы. Поэтому  в работе проведено сопоставление психометрической интерпретации креативности с пониманием творчества в рамках процессуально-деятельностной и культурно - исторической парадигмы. Это особенно важная и ценная часть книги - в ней  изложено теоретическое определение и обоснование существа   творчества  авторов. </w:t>
      </w:r>
      <w:r>
        <w:t xml:space="preserve"> В первую очередь это касается  выделения единицы психологического анализа творчества – «интеллектуальной самодеятельности» (инициативности), сформулированной  Д.Б. Богоявленской впервые еще в 1971 году.  Кроме этого, </w:t>
      </w:r>
      <w:r w:rsidR="002E0E42">
        <w:t xml:space="preserve">ею </w:t>
      </w:r>
      <w:r>
        <w:t xml:space="preserve">было дано теоретическое определение, вскрывающее существо этого феномена, как «самодвижения деятельности», приводящего к выходу за пределы заданных ситуативных требований. </w:t>
      </w:r>
    </w:p>
    <w:p w:rsidR="005905E3" w:rsidRDefault="005905E3" w:rsidP="00F92E06">
      <w:pPr>
        <w:pStyle w:val="a3"/>
        <w:ind w:right="72" w:firstLine="547"/>
        <w:jc w:val="both"/>
        <w:rPr>
          <w:szCs w:val="28"/>
        </w:rPr>
      </w:pPr>
      <w:r>
        <w:rPr>
          <w:szCs w:val="28"/>
        </w:rPr>
        <w:t xml:space="preserve">Глубоко аргументируя и  методически корректно отстаивая </w:t>
      </w:r>
      <w:r w:rsidR="002E0E42">
        <w:rPr>
          <w:szCs w:val="28"/>
        </w:rPr>
        <w:t>эту</w:t>
      </w:r>
      <w:r>
        <w:rPr>
          <w:szCs w:val="28"/>
        </w:rPr>
        <w:t xml:space="preserve"> точку зрения на феномен творчества, авторы   выполнили следующую достаточно трудную   задачу – задачу пошагового критического сопоставления основных составляющих двух точек зрения на феномен творчества, подробный и объективный показ   </w:t>
      </w:r>
      <w:r>
        <w:t xml:space="preserve">преимуществ концепции творчества и метода «Креативное поле»   перед возможностями тестолого – статистического подхода. </w:t>
      </w:r>
    </w:p>
    <w:p w:rsidR="005905E3" w:rsidRDefault="005905E3" w:rsidP="00F92E06">
      <w:pPr>
        <w:pStyle w:val="a3"/>
        <w:ind w:right="72" w:firstLine="547"/>
        <w:jc w:val="both"/>
        <w:rPr>
          <w:szCs w:val="28"/>
        </w:rPr>
      </w:pPr>
      <w:r>
        <w:rPr>
          <w:szCs w:val="28"/>
        </w:rPr>
        <w:t xml:space="preserve">В заключение, хочу отметить, что крайне важной для выстраивания программ психолого-педагогического сопровождения, с которой полностью солидарен, является  следующая точка зрения авторов монографии на принципы развития творческой личности. Они подчеркивают, что отсутствие понимания существа феномена творчества и опора лишь на эмпирически фиксируемые признаки, предположительно отнесенные к креативности, сводит педагогические воздействия к стимуляции и тренировке отдельных </w:t>
      </w:r>
      <w:r w:rsidR="002E0E42">
        <w:rPr>
          <w:szCs w:val="28"/>
        </w:rPr>
        <w:t>операций</w:t>
      </w:r>
      <w:r>
        <w:rPr>
          <w:szCs w:val="28"/>
        </w:rPr>
        <w:t xml:space="preserve">. Формируемая в таких условиях соперничества мотивация (стремление к победе любой ценой), пагубно сказывается на воспитании любви к делу, преданности идее – качеств, определяющих творческую личность. В силу внутренней детерминированности и свободы творчества, с их точки зрения, никакой тренинг не может быть средством его развития. </w:t>
      </w:r>
    </w:p>
    <w:p w:rsidR="00CE6478" w:rsidRDefault="00CE6478" w:rsidP="00436C81">
      <w:pPr>
        <w:pStyle w:val="a3"/>
        <w:tabs>
          <w:tab w:val="left" w:pos="4025"/>
          <w:tab w:val="left" w:pos="9639"/>
        </w:tabs>
        <w:jc w:val="both"/>
        <w:rPr>
          <w:szCs w:val="28"/>
        </w:rPr>
      </w:pPr>
    </w:p>
    <w:p w:rsidR="005905E3" w:rsidRDefault="005905E3" w:rsidP="00757877">
      <w:pPr>
        <w:spacing w:after="0" w:line="240" w:lineRule="auto"/>
        <w:ind w:right="7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Белехов Ю.Н</w:t>
      </w:r>
      <w:r>
        <w:rPr>
          <w:rFonts w:ascii="Times New Roman" w:hAnsi="Times New Roman"/>
          <w:sz w:val="28"/>
          <w:szCs w:val="28"/>
        </w:rPr>
        <w:t xml:space="preserve">., к.м.н, </w:t>
      </w:r>
    </w:p>
    <w:p w:rsidR="005905E3" w:rsidRDefault="005905E3" w:rsidP="00757877">
      <w:pPr>
        <w:spacing w:after="0" w:line="240" w:lineRule="auto"/>
        <w:ind w:right="7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почетный работник общего образования, </w:t>
      </w:r>
    </w:p>
    <w:p w:rsidR="005905E3" w:rsidRDefault="005905E3" w:rsidP="00757877">
      <w:pPr>
        <w:spacing w:after="0" w:line="240" w:lineRule="auto"/>
        <w:ind w:right="7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премии Мэрии Москвы в области образования, </w:t>
      </w:r>
    </w:p>
    <w:p w:rsidR="005905E3" w:rsidRDefault="005905E3" w:rsidP="00757877">
      <w:pPr>
        <w:pStyle w:val="a3"/>
        <w:ind w:left="2124" w:firstLine="708"/>
        <w:jc w:val="both"/>
        <w:rPr>
          <w:szCs w:val="28"/>
        </w:rPr>
      </w:pPr>
      <w:r>
        <w:rPr>
          <w:szCs w:val="28"/>
        </w:rPr>
        <w:t xml:space="preserve">директор Зеленоградского ЦПМСС </w:t>
      </w:r>
    </w:p>
    <w:p w:rsidR="005905E3" w:rsidRDefault="005905E3"/>
    <w:sectPr w:rsidR="005905E3" w:rsidSect="00E845C5">
      <w:headerReference w:type="even" r:id="rId7"/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9D" w:rsidRDefault="00537D9D">
      <w:r>
        <w:separator/>
      </w:r>
    </w:p>
  </w:endnote>
  <w:endnote w:type="continuationSeparator" w:id="0">
    <w:p w:rsidR="00537D9D" w:rsidRDefault="0053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9D" w:rsidRDefault="00537D9D">
      <w:r>
        <w:separator/>
      </w:r>
    </w:p>
  </w:footnote>
  <w:footnote w:type="continuationSeparator" w:id="0">
    <w:p w:rsidR="00537D9D" w:rsidRDefault="00537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E3" w:rsidRDefault="005905E3" w:rsidP="007676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5E3" w:rsidRDefault="005905E3" w:rsidP="001A7B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E3" w:rsidRDefault="005905E3" w:rsidP="007676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5C4">
      <w:rPr>
        <w:rStyle w:val="a7"/>
        <w:noProof/>
      </w:rPr>
      <w:t>1</w:t>
    </w:r>
    <w:r>
      <w:rPr>
        <w:rStyle w:val="a7"/>
      </w:rPr>
      <w:fldChar w:fldCharType="end"/>
    </w:r>
  </w:p>
  <w:p w:rsidR="005905E3" w:rsidRDefault="005905E3" w:rsidP="001A7B4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81"/>
    <w:rsid w:val="00030BE0"/>
    <w:rsid w:val="000512BF"/>
    <w:rsid w:val="000A1C4E"/>
    <w:rsid w:val="000F4D45"/>
    <w:rsid w:val="001A7B44"/>
    <w:rsid w:val="001F6A7F"/>
    <w:rsid w:val="00205DDC"/>
    <w:rsid w:val="0021453A"/>
    <w:rsid w:val="002870F3"/>
    <w:rsid w:val="002C3742"/>
    <w:rsid w:val="002E0E42"/>
    <w:rsid w:val="00327D2D"/>
    <w:rsid w:val="00376DAA"/>
    <w:rsid w:val="003D2CFF"/>
    <w:rsid w:val="00436C81"/>
    <w:rsid w:val="00476BDE"/>
    <w:rsid w:val="004B0F0A"/>
    <w:rsid w:val="004B7FF1"/>
    <w:rsid w:val="005279B7"/>
    <w:rsid w:val="00537D9D"/>
    <w:rsid w:val="0054449E"/>
    <w:rsid w:val="005905E3"/>
    <w:rsid w:val="007065C4"/>
    <w:rsid w:val="00757877"/>
    <w:rsid w:val="007676AC"/>
    <w:rsid w:val="007A18FE"/>
    <w:rsid w:val="007E1FF2"/>
    <w:rsid w:val="007F6FCD"/>
    <w:rsid w:val="009F6A31"/>
    <w:rsid w:val="00A9516F"/>
    <w:rsid w:val="00B36F3E"/>
    <w:rsid w:val="00B64320"/>
    <w:rsid w:val="00C42F44"/>
    <w:rsid w:val="00CE6478"/>
    <w:rsid w:val="00D11CCC"/>
    <w:rsid w:val="00E845C5"/>
    <w:rsid w:val="00F92E06"/>
    <w:rsid w:val="00F93185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8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36C81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36C81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A7B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72343E"/>
    <w:rPr>
      <w:rFonts w:ascii="Calibri" w:eastAsia="Times New Roman" w:hAnsi="Calibri"/>
    </w:rPr>
  </w:style>
  <w:style w:type="character" w:styleId="a7">
    <w:name w:val="page number"/>
    <w:uiPriority w:val="99"/>
    <w:rsid w:val="001A7B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8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36C81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36C81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A7B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72343E"/>
    <w:rPr>
      <w:rFonts w:ascii="Calibri" w:eastAsia="Times New Roman" w:hAnsi="Calibri"/>
    </w:rPr>
  </w:style>
  <w:style w:type="character" w:styleId="a7">
    <w:name w:val="page number"/>
    <w:uiPriority w:val="99"/>
    <w:rsid w:val="001A7B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на монографию Богоявленской Д</vt:lpstr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 монографию Богоявленской Д</dc:title>
  <dc:subject/>
  <dc:creator>Галина Анатольевна</dc:creator>
  <cp:keywords/>
  <dc:description/>
  <cp:lastModifiedBy>Name</cp:lastModifiedBy>
  <cp:revision>2</cp:revision>
  <dcterms:created xsi:type="dcterms:W3CDTF">2012-01-12T19:24:00Z</dcterms:created>
  <dcterms:modified xsi:type="dcterms:W3CDTF">2012-01-12T19:24:00Z</dcterms:modified>
</cp:coreProperties>
</file>